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  <w:bookmarkStart w:id="0" w:name="_GoBack"/>
      <w:bookmarkEnd w:id="0"/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A66651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Руми.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A66651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en-US"/>
              </w:rPr>
              <w:t>842.825,34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A66651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 xml:space="preserve">. Потписан уговор је  од стране Добављача враћен Наручиоцу 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634A-7D89-4C18-818D-26EC51ED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2015-10-08T06:21:00Z</cp:lastPrinted>
  <dcterms:created xsi:type="dcterms:W3CDTF">2018-10-29T08:55:00Z</dcterms:created>
  <dcterms:modified xsi:type="dcterms:W3CDTF">2020-10-26T12:04:00Z</dcterms:modified>
</cp:coreProperties>
</file>